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8ED" w:rsidRPr="001E48ED" w:rsidRDefault="001E48ED" w:rsidP="001E48ED">
      <w:pPr>
        <w:jc w:val="both"/>
        <w:rPr>
          <w:lang w:val="uk-UA"/>
        </w:rPr>
      </w:pP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lang w:val="uk-UA"/>
        </w:rPr>
        <w:tab/>
      </w:r>
      <w:r w:rsidRPr="001E48ED">
        <w:rPr>
          <w:rFonts w:ascii="Arial" w:hAnsi="Arial" w:cs="Arial"/>
          <w:color w:val="4A4A4A"/>
          <w:sz w:val="21"/>
          <w:szCs w:val="21"/>
          <w:lang w:val="uk-UA"/>
        </w:rPr>
        <w:t>​</w:t>
      </w:r>
      <w:r w:rsidRPr="001E48ED">
        <w:rPr>
          <w:rStyle w:val="a5"/>
          <w:rFonts w:ascii="Arial" w:hAnsi="Arial" w:cs="Arial"/>
          <w:color w:val="4A4A4A"/>
          <w:sz w:val="21"/>
          <w:szCs w:val="21"/>
          <w:lang w:val="uk-UA"/>
        </w:rPr>
        <w:t>ДОБРОГО ДНЯ,  РИТА! </w:t>
      </w:r>
      <w:r w:rsidRPr="001E48ED">
        <w:rPr>
          <w:rFonts w:ascii="Arial" w:hAnsi="Arial" w:cs="Arial"/>
          <w:color w:val="4A4A4A"/>
          <w:sz w:val="21"/>
          <w:szCs w:val="21"/>
          <w:lang w:val="uk-UA"/>
        </w:rPr>
        <w:t>На жаль усі лікарі ухиляються від виконання своїх обов"язків, адже не бажають самостійно вивчати питання роботи за новою процедурою. Якщо раніше сімейний лікар готував документи на ЛКК, яке направляло їх на МСЕК, то зараз це вже так не працює.</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Fonts w:ascii="Arial" w:hAnsi="Arial" w:cs="Arial"/>
          <w:color w:val="4A4A4A"/>
          <w:sz w:val="21"/>
          <w:szCs w:val="21"/>
          <w:lang w:val="uk-UA"/>
        </w:rPr>
        <w:t>Направлення має готувати саме лікуючий лікар до профілю котрого входять відповідні захворювання. Якщо такого вузькопрофільного спеціаліста немає (наприклад майже повністю знищено пульмонологію) - направлення може як лікуючий лікар зробити і сімейний лікар.</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Fonts w:ascii="Arial" w:hAnsi="Arial" w:cs="Arial"/>
          <w:color w:val="4A4A4A"/>
          <w:sz w:val="21"/>
          <w:szCs w:val="21"/>
          <w:lang w:val="uk-UA"/>
        </w:rPr>
        <w:t>Вам мабуть непощастило мати справу з лікарями, які ухиляються від свого обов"язку підготувати документи за новою процедуррою, що діє з 01.01.2025 р.</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Fonts w:ascii="Arial" w:hAnsi="Arial" w:cs="Arial"/>
          <w:color w:val="4A4A4A"/>
          <w:sz w:val="21"/>
          <w:szCs w:val="21"/>
          <w:lang w:val="uk-UA"/>
        </w:rPr>
        <w:t>З 1 січня 2025 року статус інвалідності, замість МСЕК, визначатиметься на основі оцінювання повсякденного функціонування людини, тобто оцінювання впливу травми чи хвороби на повсякденну діяльність.</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Fonts w:ascii="Arial" w:hAnsi="Arial" w:cs="Arial"/>
          <w:color w:val="4A4A4A"/>
          <w:sz w:val="21"/>
          <w:szCs w:val="21"/>
          <w:lang w:val="uk-UA"/>
        </w:rPr>
        <w:t>Міністерство охорони здоровʼя </w:t>
      </w:r>
      <w:hyperlink r:id="rId5" w:tgtFrame="_blank" w:history="1">
        <w:r w:rsidRPr="001E48ED">
          <w:rPr>
            <w:rStyle w:val="a3"/>
            <w:rFonts w:ascii="Arial" w:hAnsi="Arial" w:cs="Arial"/>
            <w:color w:val="1155CC"/>
            <w:sz w:val="21"/>
            <w:szCs w:val="21"/>
            <w:lang w:val="uk-UA"/>
          </w:rPr>
          <w:t>оприлюднило </w:t>
        </w:r>
      </w:hyperlink>
      <w:r w:rsidRPr="001E48ED">
        <w:rPr>
          <w:rFonts w:ascii="Arial" w:hAnsi="Arial" w:cs="Arial"/>
          <w:color w:val="4A4A4A"/>
          <w:sz w:val="21"/>
          <w:szCs w:val="21"/>
          <w:lang w:val="uk-UA"/>
        </w:rPr>
        <w:t>матеріали як для пацієнтів, так і для лікарів щодо нової системи оцінювання повсякденного функціонування людини.</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Fonts w:ascii="Arial" w:hAnsi="Arial" w:cs="Arial"/>
          <w:color w:val="4A4A4A"/>
          <w:sz w:val="21"/>
          <w:szCs w:val="21"/>
          <w:lang w:val="uk-UA"/>
        </w:rPr>
        <w:t>МОЗ України пропонує такий алгоритм.</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hyperlink r:id="rId6" w:history="1">
        <w:r w:rsidRPr="001E48ED">
          <w:rPr>
            <w:rStyle w:val="a3"/>
            <w:rFonts w:ascii="Arial" w:hAnsi="Arial" w:cs="Arial"/>
            <w:color w:val="1155CC"/>
            <w:sz w:val="21"/>
            <w:szCs w:val="21"/>
            <w:lang w:val="uk-UA"/>
          </w:rPr>
          <w:t>https://moz.gov.ua/storage/uploads/e174ed5c-b1ac-4...</w:t>
        </w:r>
      </w:hyperlink>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a5"/>
          <w:rFonts w:ascii="Arial" w:hAnsi="Arial" w:cs="Arial"/>
          <w:color w:val="4A4A4A"/>
          <w:sz w:val="21"/>
          <w:szCs w:val="21"/>
          <w:lang w:val="uk-UA"/>
        </w:rPr>
        <w:t>ЛІКУЮЧИЙ ЛІКАР</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a5"/>
          <w:rFonts w:ascii="Arial" w:hAnsi="Arial" w:cs="Arial"/>
          <w:color w:val="4A4A4A"/>
          <w:sz w:val="21"/>
          <w:szCs w:val="21"/>
          <w:lang w:val="uk-UA"/>
        </w:rPr>
        <w:t>1. Визначення потреби в направленні на проведення оцінювання </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Fonts w:ascii="Arial" w:hAnsi="Arial" w:cs="Arial"/>
          <w:color w:val="4A4A4A"/>
          <w:sz w:val="21"/>
          <w:szCs w:val="21"/>
          <w:lang w:val="uk-UA"/>
        </w:rPr>
        <w:t>Лікуючий лікар має оцінити, чи відповідають захворювання або стани пацієнта, виявлені у рамках діагностики, лікування чи реабілітації, або проведені медичні інтервенції, Критеріям направлення на проведення оцінювання повсякденного функціонування особи, затверджених постановою Кабінету Міністрів України від 15 листопада 2024 року № 1338. </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Fonts w:ascii="Arial" w:hAnsi="Arial" w:cs="Arial"/>
          <w:color w:val="4A4A4A"/>
          <w:sz w:val="21"/>
          <w:szCs w:val="21"/>
          <w:lang w:val="uk-UA"/>
        </w:rPr>
        <w:t>Якщо таку відповідність встановлено, лікуючий лікар повинен направити пацієнта на оцінювання. </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Fonts w:ascii="Arial" w:hAnsi="Arial" w:cs="Arial"/>
          <w:color w:val="4A4A4A"/>
          <w:sz w:val="21"/>
          <w:szCs w:val="21"/>
          <w:lang w:val="uk-UA"/>
        </w:rPr>
        <w:t>Крім того, лікуючий лікар направляє пацієнта на оцінювання у разі настання строку повторного огляду, встановленого медико-соціальною експертною комісією, або повторного оцінювання, встановленого рішенням експертної команди.</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a5"/>
          <w:rFonts w:ascii="Arial" w:hAnsi="Arial" w:cs="Arial"/>
          <w:color w:val="4A4A4A"/>
          <w:sz w:val="21"/>
          <w:szCs w:val="21"/>
          <w:lang w:val="uk-UA"/>
        </w:rPr>
        <w:t>Лікуючий лікар</w:t>
      </w:r>
      <w:r w:rsidRPr="001E48ED">
        <w:rPr>
          <w:rStyle w:val="redactor-invisible-space"/>
          <w:rFonts w:ascii="Arial" w:hAnsi="Arial" w:cs="Arial"/>
          <w:color w:val="4A4A4A"/>
          <w:sz w:val="21"/>
          <w:szCs w:val="21"/>
          <w:lang w:val="uk-UA"/>
        </w:rPr>
        <w:t xml:space="preserve"> – це профільний спеціаліст, який супроводжує пацієнта під час його лікування та обстеження за основним захворюванням, яке спричиняє серйозні наслідки для здоровʼя, у </w:t>
      </w:r>
      <w:r w:rsidRPr="001E48ED">
        <w:rPr>
          <w:rStyle w:val="redactor-invisible-space"/>
          <w:rFonts w:ascii="Arial" w:hAnsi="Arial" w:cs="Arial"/>
          <w:color w:val="4A4A4A"/>
          <w:sz w:val="21"/>
          <w:szCs w:val="21"/>
          <w:lang w:val="uk-UA"/>
        </w:rPr>
        <w:lastRenderedPageBreak/>
        <w:t>тому числі інвалідизацію. Його основне завдання – надавати медичну допомогу, організовувати медичне обстеження та, за потреби, оформлювати направлення на оцінювання повсякденного функціонування особи, фахово обґрунтовуючи для експертної команди стан і потреби пацієнта.</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redactor-invisible-space"/>
          <w:rFonts w:ascii="Arial" w:hAnsi="Arial" w:cs="Arial"/>
          <w:color w:val="4A4A4A"/>
          <w:sz w:val="21"/>
          <w:szCs w:val="21"/>
          <w:lang w:val="uk-UA"/>
        </w:rPr>
        <w:t>У більшості випадків це лікар вузького профілю, чия спеціалізація відповідає основному захворюванню, що призвело до появи ознак інвалідності.</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a5"/>
          <w:rFonts w:ascii="Arial" w:hAnsi="Arial" w:cs="Arial"/>
          <w:color w:val="4A4A4A"/>
          <w:sz w:val="21"/>
          <w:szCs w:val="21"/>
          <w:lang w:val="uk-UA"/>
        </w:rPr>
        <w:t>Сімейний лікар або терапевт теж можуть виконувати функції лікуючого лікаря:</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redactor-invisible-space"/>
          <w:rFonts w:ascii="Arial" w:hAnsi="Arial" w:cs="Arial"/>
          <w:color w:val="4A4A4A"/>
          <w:sz w:val="21"/>
          <w:szCs w:val="21"/>
          <w:lang w:val="uk-UA"/>
        </w:rPr>
        <w:t>● Якщо пацієнт перебуває у зоні бойових дій чи на деокупованих територіях.</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redactor-invisible-space"/>
          <w:rFonts w:ascii="Arial" w:hAnsi="Arial" w:cs="Arial"/>
          <w:color w:val="4A4A4A"/>
          <w:sz w:val="21"/>
          <w:szCs w:val="21"/>
          <w:lang w:val="uk-UA"/>
        </w:rPr>
        <w:t>● Якщо справа пацієнта вже містить усі необхідні медичні документи, і не потрібно додаткових обстежень та спеціальних знань щодо відповідного захворювання.</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redactor-invisible-space"/>
          <w:rFonts w:ascii="Arial" w:hAnsi="Arial" w:cs="Arial"/>
          <w:color w:val="4A4A4A"/>
          <w:sz w:val="21"/>
          <w:szCs w:val="21"/>
          <w:lang w:val="uk-UA"/>
        </w:rPr>
        <w:t>Сімейний лікар може оформити направлення через електронну систему для пацієнтів, у яких немає доступу до лікарів спеціалізованої медичної допомоги.</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redactor-invisible-space"/>
          <w:rFonts w:ascii="Arial" w:hAnsi="Arial" w:cs="Arial"/>
          <w:color w:val="4A4A4A"/>
          <w:sz w:val="21"/>
          <w:szCs w:val="21"/>
          <w:lang w:val="uk-UA"/>
        </w:rPr>
        <w:t>У новій системі лікарсько-консультативна комісія (ЛКК) більше не бере участі у затвердженні направлень на оцінювання.</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redactor-invisible-space"/>
          <w:rFonts w:ascii="Arial" w:hAnsi="Arial" w:cs="Arial"/>
          <w:color w:val="4A4A4A"/>
          <w:sz w:val="21"/>
          <w:szCs w:val="21"/>
          <w:lang w:val="uk-UA"/>
        </w:rPr>
        <w:t>Водночас ЛКК виконує решту своїх функцій у закладі.</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redactor-invisible-space"/>
          <w:rFonts w:ascii="Arial" w:hAnsi="Arial" w:cs="Arial"/>
          <w:color w:val="4A4A4A"/>
          <w:sz w:val="21"/>
          <w:szCs w:val="21"/>
          <w:lang w:val="uk-UA"/>
        </w:rPr>
        <w:t>Лікар, який направив особу на проведення оцінювання, не може входити до складу експертної команди, що проводить оцінювання цієї особи. Це вважається поточним конфліктом інтересів, адже не дозволить обʼєктивно провести оцінювання. Однак, минуле епізодичне консультування чи короткотривале лікування пацієнта - не є конфліктом інтересів.</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a5"/>
          <w:rFonts w:ascii="Arial" w:hAnsi="Arial" w:cs="Arial"/>
          <w:color w:val="4A4A4A"/>
          <w:sz w:val="21"/>
          <w:szCs w:val="21"/>
          <w:lang w:val="uk-UA"/>
        </w:rPr>
        <w:t>2. Формування електронного направлення на оцінювання</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redactor-invisible-space"/>
          <w:rFonts w:ascii="Arial" w:hAnsi="Arial" w:cs="Arial"/>
          <w:color w:val="4A4A4A"/>
          <w:sz w:val="21"/>
          <w:szCs w:val="21"/>
          <w:lang w:val="uk-UA"/>
        </w:rPr>
        <w:t xml:space="preserve">За допомогою електронної системи щодо оцінювання повсякденного функціонування особи (далі – електронна система) лікуючий лікар формує електронне направлення на оцінювання повсякденного функціонування особи. Електронна система є безоплатною і доступною закладам охорони здоровʼя усіх форм власності (державної, комунальної, приватної). Детальніше про електронну систему </w:t>
      </w:r>
      <w:r w:rsidRPr="001E48ED">
        <w:rPr>
          <w:rStyle w:val="redactor-invisible-space"/>
          <w:rFonts w:ascii="Segoe UI Symbol" w:hAnsi="Segoe UI Symbol" w:cs="Segoe UI Symbol"/>
          <w:color w:val="4A4A4A"/>
          <w:sz w:val="21"/>
          <w:szCs w:val="21"/>
          <w:lang w:val="uk-UA"/>
        </w:rPr>
        <w:t>💻</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redactor-invisible-space"/>
          <w:rFonts w:ascii="Arial" w:hAnsi="Arial" w:cs="Arial"/>
          <w:color w:val="4A4A4A"/>
          <w:sz w:val="21"/>
          <w:szCs w:val="21"/>
          <w:lang w:val="uk-UA"/>
        </w:rPr>
        <w:t>У направленні на оцінювання зазначається інформація про пацієнта, необхідна для проведення оцінювання, а також мета направлення пацієнта на оцінювання.</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redactor-invisible-space"/>
          <w:rFonts w:ascii="Arial" w:hAnsi="Arial" w:cs="Arial"/>
          <w:color w:val="4A4A4A"/>
          <w:sz w:val="21"/>
          <w:szCs w:val="21"/>
          <w:lang w:val="uk-UA"/>
        </w:rPr>
        <w:t>Необхідно підготувати такі документи та відомості про пацієнта:</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a5"/>
          <w:rFonts w:ascii="Arial" w:hAnsi="Arial" w:cs="Arial"/>
          <w:color w:val="4A4A4A"/>
          <w:sz w:val="21"/>
          <w:szCs w:val="21"/>
          <w:lang w:val="uk-UA"/>
        </w:rPr>
        <w:t>1) </w:t>
      </w:r>
      <w:r w:rsidRPr="001E48ED">
        <w:rPr>
          <w:rStyle w:val="redactor-invisible-space"/>
          <w:rFonts w:ascii="Arial" w:hAnsi="Arial" w:cs="Arial"/>
          <w:color w:val="4A4A4A"/>
          <w:sz w:val="21"/>
          <w:szCs w:val="21"/>
          <w:lang w:val="uk-UA"/>
        </w:rPr>
        <w:t>документи особи, яка направляється на проведення оцінювання (паспорт громадянина України, РНОКПП (за наявності), військово-обліковий документ (за наявності) тощо) - обовʼязково;</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a5"/>
          <w:rFonts w:ascii="Arial" w:hAnsi="Arial" w:cs="Arial"/>
          <w:color w:val="4A4A4A"/>
          <w:sz w:val="21"/>
          <w:szCs w:val="21"/>
          <w:lang w:val="uk-UA"/>
        </w:rPr>
        <w:lastRenderedPageBreak/>
        <w:t>2)</w:t>
      </w:r>
      <w:r w:rsidRPr="001E48ED">
        <w:rPr>
          <w:rStyle w:val="redactor-invisible-space"/>
          <w:rFonts w:ascii="Arial" w:hAnsi="Arial" w:cs="Arial"/>
          <w:color w:val="4A4A4A"/>
          <w:sz w:val="21"/>
          <w:szCs w:val="21"/>
          <w:lang w:val="uk-UA"/>
        </w:rPr>
        <w:t> медичні документи, що стосуються захворювання чи стану здоров’я, відповідно до якого особу направляється на оцінювання (виписка з медичної карти амбулаторного (стаціонарного) хворого та/або оригінали консультативних висновків лікарів та/або діагностичних досліджень за останній рік; результати лабораторних, інструментальних, променевих та інших обстежень; копія індивідуального реабілітаційного плану (за наявності); рішення ВЛК; документи або інформація, що підтверджують безперервну тимчасову непрацездатність тощо) - обовʼязково;</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a5"/>
          <w:rFonts w:ascii="Arial" w:hAnsi="Arial" w:cs="Arial"/>
          <w:color w:val="4A4A4A"/>
          <w:sz w:val="21"/>
          <w:szCs w:val="21"/>
          <w:lang w:val="uk-UA"/>
        </w:rPr>
        <w:t>3)</w:t>
      </w:r>
      <w:r w:rsidRPr="001E48ED">
        <w:rPr>
          <w:rStyle w:val="redactor-invisible-space"/>
          <w:rFonts w:ascii="Arial" w:hAnsi="Arial" w:cs="Arial"/>
          <w:color w:val="4A4A4A"/>
          <w:sz w:val="21"/>
          <w:szCs w:val="21"/>
          <w:lang w:val="uk-UA"/>
        </w:rPr>
        <w:t> документи, що підтверджують причини настання інвалідності - за потреби;</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a5"/>
          <w:rFonts w:ascii="Arial" w:hAnsi="Arial" w:cs="Arial"/>
          <w:color w:val="4A4A4A"/>
          <w:sz w:val="21"/>
          <w:szCs w:val="21"/>
          <w:lang w:val="uk-UA"/>
        </w:rPr>
        <w:t>4)</w:t>
      </w:r>
      <w:r w:rsidRPr="001E48ED">
        <w:rPr>
          <w:rStyle w:val="redactor-invisible-space"/>
          <w:rFonts w:ascii="Arial" w:hAnsi="Arial" w:cs="Arial"/>
          <w:color w:val="4A4A4A"/>
          <w:sz w:val="21"/>
          <w:szCs w:val="21"/>
          <w:lang w:val="uk-UA"/>
        </w:rPr>
        <w:t> військово-облікові документи - за потреби;</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a5"/>
          <w:rFonts w:ascii="Arial" w:hAnsi="Arial" w:cs="Arial"/>
          <w:color w:val="4A4A4A"/>
          <w:sz w:val="21"/>
          <w:szCs w:val="21"/>
          <w:lang w:val="uk-UA"/>
        </w:rPr>
        <w:t>5) </w:t>
      </w:r>
      <w:r w:rsidRPr="001E48ED">
        <w:rPr>
          <w:rStyle w:val="redactor-invisible-space"/>
          <w:rFonts w:ascii="Arial" w:hAnsi="Arial" w:cs="Arial"/>
          <w:color w:val="4A4A4A"/>
          <w:sz w:val="21"/>
          <w:szCs w:val="21"/>
          <w:lang w:val="uk-UA"/>
        </w:rPr>
        <w:t>заява у довільній формі про присутність під час очного, виїзного за місцем перебування/лікування особи або з використанням методів і засобів телемедицини розгляду експертною командою лікаря, який направив, та/або уповноваженого представника (залученого лікаря, соцпрацівника, фахівця з супроводу ветеранів війни та демобілізованих осіб). Документ, що підтверджує повноваження такого уповноваженого представника - за потреби; </w:t>
      </w:r>
      <w:r w:rsidRPr="001E48ED">
        <w:rPr>
          <w:rStyle w:val="a5"/>
          <w:rFonts w:ascii="Arial" w:hAnsi="Arial" w:cs="Arial"/>
          <w:color w:val="4A4A4A"/>
          <w:sz w:val="21"/>
          <w:szCs w:val="21"/>
          <w:lang w:val="uk-UA"/>
        </w:rPr>
        <w:t>6)</w:t>
      </w:r>
      <w:r w:rsidRPr="001E48ED">
        <w:rPr>
          <w:rStyle w:val="redactor-invisible-space"/>
          <w:rFonts w:ascii="Arial" w:hAnsi="Arial" w:cs="Arial"/>
          <w:color w:val="4A4A4A"/>
          <w:sz w:val="21"/>
          <w:szCs w:val="21"/>
          <w:lang w:val="uk-UA"/>
        </w:rPr>
        <w:t> адресу електронної пошти пацієнта або довіреної особи для отримання сповіщень про статус справи - бажано;</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a5"/>
          <w:rFonts w:ascii="Arial" w:hAnsi="Arial" w:cs="Arial"/>
          <w:color w:val="4A4A4A"/>
          <w:sz w:val="21"/>
          <w:szCs w:val="21"/>
          <w:lang w:val="uk-UA"/>
        </w:rPr>
        <w:t>7)</w:t>
      </w:r>
      <w:r w:rsidRPr="001E48ED">
        <w:rPr>
          <w:rStyle w:val="redactor-invisible-space"/>
          <w:rFonts w:ascii="Arial" w:hAnsi="Arial" w:cs="Arial"/>
          <w:color w:val="4A4A4A"/>
          <w:sz w:val="21"/>
          <w:szCs w:val="21"/>
          <w:lang w:val="uk-UA"/>
        </w:rPr>
        <w:t> адресу для отримання паперових листів поштою, як місце перебування особи - за потреби. Важливо! Згоду особи на обробку та передачу персональних даних брати не потрібно, оскільки питання обробки даних врегульовано на законодавчому рівні;</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a5"/>
          <w:rFonts w:ascii="Arial" w:hAnsi="Arial" w:cs="Arial"/>
          <w:color w:val="4A4A4A"/>
          <w:sz w:val="21"/>
          <w:szCs w:val="21"/>
          <w:lang w:val="uk-UA"/>
        </w:rPr>
        <w:t>3. Відправлення електронного направлення на оцінювання</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redactor-invisible-space"/>
          <w:rFonts w:ascii="Arial" w:hAnsi="Arial" w:cs="Arial"/>
          <w:color w:val="4A4A4A"/>
          <w:sz w:val="21"/>
          <w:szCs w:val="21"/>
          <w:lang w:val="uk-UA"/>
        </w:rPr>
        <w:t>На основі поданих документів лікуючий лікар створює структуровану електронну форму направлення в електронній системі і прикріплює до неї всі документи пацієнта.</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redactor-invisible-space"/>
          <w:rFonts w:ascii="Arial" w:hAnsi="Arial" w:cs="Arial"/>
          <w:color w:val="4A4A4A"/>
          <w:sz w:val="21"/>
          <w:szCs w:val="21"/>
          <w:lang w:val="uk-UA"/>
        </w:rPr>
        <w:t>Перший вхід до системи має здійснити керівник закладу для активації закладу в системі та реєстрації працівників, надалі за тим же посиланням можуть перейти працівники, скориставшись для входу власним КЕП юрособи.</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redactor-invisible-space"/>
          <w:rFonts w:ascii="Arial" w:hAnsi="Arial" w:cs="Arial"/>
          <w:color w:val="4A4A4A"/>
          <w:sz w:val="21"/>
          <w:szCs w:val="21"/>
          <w:lang w:val="uk-UA"/>
        </w:rPr>
        <w:t>В електронній системі лікуючий лікар підписує направлення на оцінювання шляхом накладення кваліфікованого електронного підпису або удосконаленого електронного підпису, що базується на кваліфікованому сертифікаті електронного підпису.</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redactor-invisible-space"/>
          <w:rFonts w:ascii="Arial" w:hAnsi="Arial" w:cs="Arial"/>
          <w:color w:val="4A4A4A"/>
          <w:sz w:val="21"/>
          <w:szCs w:val="21"/>
          <w:lang w:val="uk-UA"/>
        </w:rPr>
        <w:t>Лікар може формувати чернетку справи, зберігаючи її шляхом натискання кнопки “Зберегти чернетку” та накладання на неї КЕП, після чого вона зʼявиться в Журналі справ.</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redactor-invisible-space"/>
          <w:rFonts w:ascii="Arial" w:hAnsi="Arial" w:cs="Arial"/>
          <w:color w:val="4A4A4A"/>
          <w:sz w:val="21"/>
          <w:szCs w:val="21"/>
          <w:lang w:val="uk-UA"/>
        </w:rPr>
        <w:t>Автоматичні чернетки формуються на екстрені випадки, і доступні у розділі “Мої задачі”, звідки вони автоматично зникають через 3 дні.</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redactor-invisible-space"/>
          <w:rFonts w:ascii="Arial" w:hAnsi="Arial" w:cs="Arial"/>
          <w:color w:val="4A4A4A"/>
          <w:sz w:val="21"/>
          <w:szCs w:val="21"/>
          <w:lang w:val="uk-UA"/>
        </w:rPr>
        <w:lastRenderedPageBreak/>
        <w:t>У формі направлення міститься необхідна інформація про причини та мету направлення на оцінювання.</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redactor-invisible-space"/>
          <w:rFonts w:ascii="Arial" w:hAnsi="Arial" w:cs="Arial"/>
          <w:color w:val="4A4A4A"/>
          <w:sz w:val="21"/>
          <w:szCs w:val="21"/>
          <w:lang w:val="uk-UA"/>
        </w:rPr>
        <w:t>Разом із лікарем обирається бажана форма проведення оцінювання.</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redactor-invisible-space"/>
          <w:rFonts w:ascii="Arial" w:hAnsi="Arial" w:cs="Arial"/>
          <w:color w:val="4A4A4A"/>
          <w:sz w:val="21"/>
          <w:szCs w:val="21"/>
          <w:lang w:val="uk-UA"/>
        </w:rPr>
        <w:t>Таких форм чотири:</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redactor-invisible-space"/>
          <w:rFonts w:ascii="Arial" w:hAnsi="Arial" w:cs="Arial"/>
          <w:color w:val="4A4A4A"/>
          <w:sz w:val="21"/>
          <w:szCs w:val="21"/>
          <w:lang w:val="uk-UA"/>
        </w:rPr>
        <w:t>- за участі особи (очно);</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redactor-invisible-space"/>
          <w:rFonts w:ascii="Arial" w:hAnsi="Arial" w:cs="Arial"/>
          <w:color w:val="4A4A4A"/>
          <w:sz w:val="21"/>
          <w:szCs w:val="21"/>
          <w:lang w:val="uk-UA"/>
        </w:rPr>
        <w:t>- без особистої присутності особи (заочно);</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redactor-invisible-space"/>
          <w:rFonts w:ascii="Arial" w:hAnsi="Arial" w:cs="Arial"/>
          <w:color w:val="4A4A4A"/>
          <w:sz w:val="21"/>
          <w:szCs w:val="21"/>
          <w:lang w:val="uk-UA"/>
        </w:rPr>
        <w:t>- з використанням методів і засобів телемедицини;</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redactor-invisible-space"/>
          <w:rFonts w:ascii="Arial" w:hAnsi="Arial" w:cs="Arial"/>
          <w:color w:val="4A4A4A"/>
          <w:sz w:val="21"/>
          <w:szCs w:val="21"/>
          <w:lang w:val="uk-UA"/>
        </w:rPr>
        <w:t>- за місцем перебування/лікування особи.</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redactor-invisible-space"/>
          <w:rFonts w:ascii="Arial" w:hAnsi="Arial" w:cs="Arial"/>
          <w:color w:val="4A4A4A"/>
          <w:sz w:val="21"/>
          <w:szCs w:val="21"/>
          <w:lang w:val="uk-UA"/>
        </w:rPr>
        <w:t>Форма розгляду експертною командою обирається відповідно до Критеріїв визначення форми проведення оцінювання повсякденного функціонування особи згідно з</w:t>
      </w:r>
      <w:r w:rsidRPr="001E48ED">
        <w:rPr>
          <w:rStyle w:val="a5"/>
          <w:rFonts w:ascii="Arial" w:hAnsi="Arial" w:cs="Arial"/>
          <w:color w:val="4A4A4A"/>
          <w:sz w:val="21"/>
          <w:szCs w:val="21"/>
          <w:lang w:val="uk-UA"/>
        </w:rPr>
        <w:t> додатком 1 до Порядку проведення оцінювання повсякденного функціонування особи, затвердженого постановою Кабінету Міністрів України від 15 листопада 2024 року № 1338 .</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redactor-invisible-space"/>
          <w:rFonts w:ascii="Arial" w:hAnsi="Arial" w:cs="Arial"/>
          <w:color w:val="4A4A4A"/>
          <w:sz w:val="21"/>
          <w:szCs w:val="21"/>
          <w:lang w:val="uk-UA"/>
        </w:rPr>
        <w:t>Також пацієнт разом із лікарем обирає заклад охорони здоровʼя з відповідною експертною командою для проведення оцінювання.</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redactor-invisible-space"/>
          <w:rFonts w:ascii="Arial" w:hAnsi="Arial" w:cs="Arial"/>
          <w:color w:val="4A4A4A"/>
          <w:sz w:val="21"/>
          <w:szCs w:val="21"/>
          <w:lang w:val="uk-UA"/>
        </w:rPr>
        <w:t>З переліком закладів та профілями експертних команд можна ознайомитись на дашборді на сайті МОЗ. </w:t>
      </w:r>
      <w:hyperlink r:id="rId7" w:history="1">
        <w:r w:rsidRPr="001E48ED">
          <w:rPr>
            <w:rStyle w:val="a3"/>
            <w:rFonts w:ascii="Arial" w:hAnsi="Arial" w:cs="Arial"/>
            <w:color w:val="1155CC"/>
            <w:sz w:val="21"/>
            <w:szCs w:val="21"/>
            <w:lang w:val="uk-UA"/>
          </w:rPr>
          <w:t>https://moz.gov.ua/uk/ekopfo</w:t>
        </w:r>
      </w:hyperlink>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redactor-invisible-space"/>
          <w:rFonts w:ascii="Arial" w:hAnsi="Arial" w:cs="Arial"/>
          <w:color w:val="4A4A4A"/>
          <w:sz w:val="21"/>
          <w:szCs w:val="21"/>
          <w:lang w:val="uk-UA"/>
        </w:rPr>
        <w:t>У кожному закладі існує дві і більше команд одного профілю.</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redactor-invisible-space"/>
          <w:rFonts w:ascii="Arial" w:hAnsi="Arial" w:cs="Arial"/>
          <w:color w:val="4A4A4A"/>
          <w:sz w:val="21"/>
          <w:szCs w:val="21"/>
          <w:lang w:val="uk-UA"/>
        </w:rPr>
        <w:t>Пацієнт може пройти оцінювання в закладі незалежно від місця реєстрації.</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redactor-invisible-space"/>
          <w:rFonts w:ascii="Arial" w:hAnsi="Arial" w:cs="Arial"/>
          <w:color w:val="4A4A4A"/>
          <w:sz w:val="21"/>
          <w:szCs w:val="21"/>
          <w:lang w:val="uk-UA"/>
        </w:rPr>
        <w:t>На одного пацієнта може існувати лише одна чинна справа.</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redactor-invisible-space"/>
          <w:rFonts w:ascii="Arial" w:hAnsi="Arial" w:cs="Arial"/>
          <w:color w:val="4A4A4A"/>
          <w:sz w:val="21"/>
          <w:szCs w:val="21"/>
          <w:lang w:val="uk-UA"/>
        </w:rPr>
        <w:t>Після направлення справи до закладу з експертною командою, справа відображатиметься у Журналі справ лікуючого лікаря зі статусом </w:t>
      </w:r>
      <w:r w:rsidRPr="001E48ED">
        <w:rPr>
          <w:rStyle w:val="a5"/>
          <w:rFonts w:ascii="Arial" w:hAnsi="Arial" w:cs="Arial"/>
          <w:color w:val="4A4A4A"/>
          <w:sz w:val="21"/>
          <w:szCs w:val="21"/>
          <w:lang w:val="uk-UA"/>
        </w:rPr>
        <w:t>“подана”</w:t>
      </w:r>
      <w:r w:rsidRPr="001E48ED">
        <w:rPr>
          <w:rStyle w:val="redactor-invisible-space"/>
          <w:rFonts w:ascii="Arial" w:hAnsi="Arial" w:cs="Arial"/>
          <w:color w:val="4A4A4A"/>
          <w:sz w:val="21"/>
          <w:szCs w:val="21"/>
          <w:lang w:val="uk-UA"/>
        </w:rPr>
        <w:t>, і в подальшому, при зміні статусу справи у закладі з експертною командою, це відображатиметься у Журналі.</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redactor-invisible-space"/>
          <w:rFonts w:ascii="Arial" w:hAnsi="Arial" w:cs="Arial"/>
          <w:color w:val="4A4A4A"/>
          <w:sz w:val="21"/>
          <w:szCs w:val="21"/>
          <w:lang w:val="uk-UA"/>
        </w:rPr>
        <w:t>Там же буде доступна інформація про місце і дату оцінювання, яку можна передати пацієнту, а також витяг з рішення.</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redactor-invisible-space"/>
          <w:rFonts w:ascii="Arial" w:hAnsi="Arial" w:cs="Arial"/>
          <w:color w:val="4A4A4A"/>
          <w:sz w:val="21"/>
          <w:szCs w:val="21"/>
          <w:lang w:val="uk-UA"/>
        </w:rPr>
        <w:t xml:space="preserve">У разі відсутності технічної можливості використовувати електронну систему, інформація про що оприлюднюється на вебсайті МОЗ, опрацювання направлень, документів та процес оцінювання здійснюються із застосуванням паперового документообігу з прийняттям рішення за результатами оцінювання за формами, встановленими МОЗ, яке повинно бути підписане </w:t>
      </w:r>
      <w:r w:rsidRPr="001E48ED">
        <w:rPr>
          <w:rStyle w:val="redactor-invisible-space"/>
          <w:rFonts w:ascii="Arial" w:hAnsi="Arial" w:cs="Arial"/>
          <w:color w:val="4A4A4A"/>
          <w:sz w:val="21"/>
          <w:szCs w:val="21"/>
          <w:lang w:val="uk-UA"/>
        </w:rPr>
        <w:lastRenderedPageBreak/>
        <w:t>всіма членами та головуючим експертної команди та скріплене печаткою закладу охорони здоров’я.</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redactor-invisible-space"/>
          <w:rFonts w:ascii="Arial" w:hAnsi="Arial" w:cs="Arial"/>
          <w:color w:val="4A4A4A"/>
          <w:sz w:val="21"/>
          <w:szCs w:val="21"/>
          <w:lang w:val="uk-UA"/>
        </w:rPr>
        <w:t>Після появи технічної можливості такі рішення та документи підлягають негайному внесенню до системи.​​​​​</w:t>
      </w:r>
    </w:p>
    <w:p w:rsidR="001E48ED" w:rsidRPr="001E48ED" w:rsidRDefault="001E48ED" w:rsidP="001E48ED">
      <w:pPr>
        <w:shd w:val="clear" w:color="auto" w:fill="F6F6F6"/>
        <w:spacing w:line="384" w:lineRule="atLeast"/>
        <w:jc w:val="both"/>
        <w:rPr>
          <w:rFonts w:ascii="Arial" w:hAnsi="Arial" w:cs="Arial"/>
          <w:color w:val="777777"/>
          <w:sz w:val="26"/>
          <w:szCs w:val="26"/>
          <w:lang w:val="uk-UA"/>
        </w:rPr>
      </w:pPr>
      <w:r w:rsidRPr="001E48ED">
        <w:rPr>
          <w:rStyle w:val="a5"/>
          <w:rFonts w:ascii="Arial" w:hAnsi="Arial" w:cs="Arial"/>
          <w:color w:val="777777"/>
          <w:sz w:val="26"/>
          <w:szCs w:val="26"/>
          <w:lang w:val="uk-UA"/>
        </w:rPr>
        <w:t>Ваші права в медичній системі</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Fonts w:ascii="Arial" w:hAnsi="Arial" w:cs="Arial"/>
          <w:color w:val="4A4A4A"/>
          <w:sz w:val="21"/>
          <w:szCs w:val="21"/>
          <w:lang w:val="uk-UA"/>
        </w:rPr>
        <w:t>Нова система забезпечує розширені права та можливості для пацієнтів, які проходять оцінювання. У рамках нової системи оцінювання пацієнти можуть:</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a5"/>
          <w:rFonts w:ascii="Arial" w:hAnsi="Arial" w:cs="Arial"/>
          <w:color w:val="4A4A4A"/>
          <w:sz w:val="21"/>
          <w:szCs w:val="21"/>
          <w:lang w:val="uk-UA"/>
        </w:rPr>
        <w:t>1. Самостійно обирати заклад охорони здоров’я для проходження оцінювання повсякденного функціонування:</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Fonts w:ascii="Arial" w:hAnsi="Arial" w:cs="Arial"/>
          <w:color w:val="4A4A4A"/>
          <w:sz w:val="21"/>
          <w:szCs w:val="21"/>
          <w:lang w:val="uk-UA"/>
        </w:rPr>
        <w:t>Пацієнт може обрати будь-який заклад охорони здоров’я, де працюють експертні команди відповідного профілю. Ви можете проходити оцінювання чи лікування незалежно від вашого місця проживання чи реєстрації. Це дає змогу отримувати послуги в найзручнішому для вас місці. Повний перелік закладів можна побачити на </w:t>
      </w:r>
      <w:hyperlink r:id="rId8" w:history="1">
        <w:r w:rsidRPr="001E48ED">
          <w:rPr>
            <w:rStyle w:val="a3"/>
            <w:rFonts w:ascii="Arial" w:hAnsi="Arial" w:cs="Arial"/>
            <w:color w:val="1155CC"/>
            <w:sz w:val="21"/>
            <w:szCs w:val="21"/>
            <w:lang w:val="uk-UA"/>
          </w:rPr>
          <w:t>Дашборді МОЗ</w:t>
        </w:r>
      </w:hyperlink>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a5"/>
          <w:rFonts w:ascii="Arial" w:hAnsi="Arial" w:cs="Arial"/>
          <w:color w:val="4A4A4A"/>
          <w:sz w:val="21"/>
          <w:szCs w:val="21"/>
          <w:lang w:val="uk-UA"/>
        </w:rPr>
        <w:t>2. Право на аудіо- та відеофіксацію:</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hyperlink r:id="rId9" w:anchor="Text" w:tgtFrame="_blank" w:history="1">
        <w:r w:rsidRPr="001E48ED">
          <w:rPr>
            <w:rStyle w:val="a3"/>
            <w:rFonts w:ascii="Arial" w:hAnsi="Arial" w:cs="Arial"/>
            <w:color w:val="1155CC"/>
            <w:sz w:val="21"/>
            <w:szCs w:val="21"/>
            <w:lang w:val="uk-UA"/>
          </w:rPr>
          <w:t>Постанова КМУ №1338</w:t>
        </w:r>
      </w:hyperlink>
      <w:r w:rsidRPr="001E48ED">
        <w:rPr>
          <w:rFonts w:ascii="Arial" w:hAnsi="Arial" w:cs="Arial"/>
          <w:color w:val="4A4A4A"/>
          <w:sz w:val="21"/>
          <w:szCs w:val="21"/>
          <w:lang w:val="uk-UA"/>
        </w:rPr>
        <w:t> дозволяє пацієнтам здійснювати відеофіксацію процесу оцінювання за допомогою власних технічних засобів. Це забезпечує прозорість і додає впевненості у справедливості рішень.</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Fonts w:ascii="Arial" w:hAnsi="Arial" w:cs="Arial"/>
          <w:color w:val="4A4A4A"/>
          <w:sz w:val="21"/>
          <w:szCs w:val="21"/>
          <w:lang w:val="uk-UA"/>
        </w:rPr>
        <w:t>Однак важливо враховувати, що відповідно до статті 307 Цивільного кодексу України лікар, як і будь-яка інша особа, може бути знятий на відео лише за його згодою. Якщо лікар чи інший учасник оцінювання відмовився надати таку згоду або її не було отримано, пацієнт зобов’язаний проводити зйомку таким чином, щоб у кадр не потрапляли особи, які не надали згоди.</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Fonts w:ascii="Arial" w:hAnsi="Arial" w:cs="Arial"/>
          <w:color w:val="4A4A4A"/>
          <w:sz w:val="21"/>
          <w:szCs w:val="21"/>
          <w:lang w:val="uk-UA"/>
        </w:rPr>
        <w:t>Такі записи можуть бути використані під час оскарження результатів оцінювання, якщо вони відповідають вимогам законодавства.</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a5"/>
          <w:rFonts w:ascii="Arial" w:hAnsi="Arial" w:cs="Arial"/>
          <w:color w:val="4A4A4A"/>
          <w:sz w:val="21"/>
          <w:szCs w:val="21"/>
          <w:lang w:val="uk-UA"/>
        </w:rPr>
        <w:t>3. Залучення уповноваженої  особи:</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Fonts w:ascii="Arial" w:hAnsi="Arial" w:cs="Arial"/>
          <w:color w:val="4A4A4A"/>
          <w:sz w:val="21"/>
          <w:szCs w:val="21"/>
          <w:lang w:val="uk-UA"/>
        </w:rPr>
        <w:t>Пацієнт має право запросити лікуючого лікаря, соціального працівника чи іншого представника під час оцінювання, попередньо подавши заяву про участь уповноваженого представника. </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a5"/>
          <w:rFonts w:ascii="Arial" w:hAnsi="Arial" w:cs="Arial"/>
          <w:color w:val="4A4A4A"/>
          <w:sz w:val="21"/>
          <w:szCs w:val="21"/>
          <w:lang w:val="uk-UA"/>
        </w:rPr>
        <w:t>Що потрібно для уповноваженої особи:</w:t>
      </w:r>
    </w:p>
    <w:p w:rsidR="001E48ED" w:rsidRPr="001E48ED" w:rsidRDefault="001E48ED" w:rsidP="001E48ED">
      <w:pPr>
        <w:numPr>
          <w:ilvl w:val="0"/>
          <w:numId w:val="1"/>
        </w:numPr>
        <w:spacing w:before="100" w:beforeAutospacing="1" w:after="100" w:afterAutospacing="1" w:line="384" w:lineRule="atLeast"/>
        <w:ind w:left="0"/>
        <w:jc w:val="both"/>
        <w:rPr>
          <w:rFonts w:ascii="Arial" w:hAnsi="Arial" w:cs="Arial"/>
          <w:color w:val="4A4A4A"/>
          <w:sz w:val="21"/>
          <w:szCs w:val="21"/>
          <w:lang w:val="uk-UA"/>
        </w:rPr>
      </w:pPr>
      <w:r w:rsidRPr="001E48ED">
        <w:rPr>
          <w:rFonts w:ascii="Arial" w:hAnsi="Arial" w:cs="Arial"/>
          <w:color w:val="4A4A4A"/>
          <w:sz w:val="21"/>
          <w:szCs w:val="21"/>
          <w:lang w:val="uk-UA"/>
        </w:rPr>
        <w:t>Подати заяву в довільній формі.</w:t>
      </w:r>
    </w:p>
    <w:p w:rsidR="001E48ED" w:rsidRPr="001E48ED" w:rsidRDefault="001E48ED" w:rsidP="001E48ED">
      <w:pPr>
        <w:numPr>
          <w:ilvl w:val="0"/>
          <w:numId w:val="1"/>
        </w:numPr>
        <w:spacing w:before="100" w:beforeAutospacing="1" w:after="100" w:afterAutospacing="1" w:line="384" w:lineRule="atLeast"/>
        <w:ind w:left="0"/>
        <w:jc w:val="both"/>
        <w:rPr>
          <w:rFonts w:ascii="Arial" w:hAnsi="Arial" w:cs="Arial"/>
          <w:color w:val="4A4A4A"/>
          <w:sz w:val="21"/>
          <w:szCs w:val="21"/>
          <w:lang w:val="uk-UA"/>
        </w:rPr>
      </w:pPr>
      <w:r w:rsidRPr="001E48ED">
        <w:rPr>
          <w:rFonts w:ascii="Arial" w:hAnsi="Arial" w:cs="Arial"/>
          <w:color w:val="4A4A4A"/>
          <w:sz w:val="21"/>
          <w:szCs w:val="21"/>
          <w:lang w:val="uk-UA"/>
        </w:rPr>
        <w:t>Надати документ, що підтверджує повноваження представника.</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Fonts w:ascii="Arial" w:hAnsi="Arial" w:cs="Arial"/>
          <w:color w:val="4A4A4A"/>
          <w:sz w:val="21"/>
          <w:szCs w:val="21"/>
          <w:lang w:val="uk-UA"/>
        </w:rPr>
        <w:lastRenderedPageBreak/>
        <w:t>Присутність уповноваженої особи під час оцінювання надає пацієнту додаткову підтримку, допомагає йому почуватися впевненіше та гарантує врахування його інтересів. Уповноважений представник може надавати консультації, допомагати пацієнту орієнтуватися в процедурі, а також відповідати на питання, які можуть виникнути під час оцінювання.</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Fonts w:ascii="Arial" w:hAnsi="Arial" w:cs="Arial"/>
          <w:color w:val="4A4A4A"/>
          <w:sz w:val="21"/>
          <w:szCs w:val="21"/>
          <w:lang w:val="uk-UA"/>
        </w:rPr>
        <w:t>Проте роль уповноваженої особи обмежується виключно процедурними аспектами. Представник може заявляти клопотання про надання слова, але втручатися в процес самостійно без дозволу чи сперечатися з членами експертної команди ні. Його функції спрямовані на підтримку пацієнта, а не на вплив чи ускладнення проведення оцінювання.</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Fonts w:ascii="Arial" w:hAnsi="Arial" w:cs="Arial"/>
          <w:color w:val="4A4A4A"/>
          <w:sz w:val="21"/>
          <w:szCs w:val="21"/>
          <w:lang w:val="uk-UA"/>
        </w:rPr>
        <w:t>Експертна команда не може відмовити у присутності довіреної особи, якщо всі необхідні документи, що підтверджують її повноваження, були подані належним чином.</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a5"/>
          <w:rFonts w:ascii="Arial" w:hAnsi="Arial" w:cs="Arial"/>
          <w:color w:val="4A4A4A"/>
          <w:sz w:val="21"/>
          <w:szCs w:val="21"/>
          <w:lang w:val="uk-UA"/>
        </w:rPr>
        <w:t>4. Оскарження рішень:</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Fonts w:ascii="Arial" w:hAnsi="Arial" w:cs="Arial"/>
          <w:color w:val="4A4A4A"/>
          <w:sz w:val="21"/>
          <w:szCs w:val="21"/>
          <w:lang w:val="uk-UA"/>
        </w:rPr>
        <w:t>Якщо ви не погоджуєтесь із рішенням експертної команди, ви маєте право подати скаргу до </w:t>
      </w:r>
      <w:r w:rsidRPr="001E48ED">
        <w:rPr>
          <w:rStyle w:val="a5"/>
          <w:rFonts w:ascii="Arial" w:hAnsi="Arial" w:cs="Arial"/>
          <w:color w:val="4A4A4A"/>
          <w:sz w:val="21"/>
          <w:szCs w:val="21"/>
          <w:lang w:val="uk-UA"/>
        </w:rPr>
        <w:t>Центру оцінювання функціонального стану особи</w:t>
      </w:r>
      <w:r w:rsidRPr="001E48ED">
        <w:rPr>
          <w:rFonts w:ascii="Arial" w:hAnsi="Arial" w:cs="Arial"/>
          <w:color w:val="4A4A4A"/>
          <w:sz w:val="21"/>
          <w:szCs w:val="21"/>
          <w:lang w:val="uk-UA"/>
        </w:rPr>
        <w:t>. </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a5"/>
          <w:rFonts w:ascii="Arial" w:hAnsi="Arial" w:cs="Arial"/>
          <w:color w:val="4A4A4A"/>
          <w:sz w:val="21"/>
          <w:szCs w:val="21"/>
          <w:lang w:val="uk-UA"/>
        </w:rPr>
        <w:t>Що має містити скарга?</w:t>
      </w:r>
    </w:p>
    <w:p w:rsidR="001E48ED" w:rsidRPr="001E48ED" w:rsidRDefault="001E48ED" w:rsidP="001E48ED">
      <w:pPr>
        <w:numPr>
          <w:ilvl w:val="0"/>
          <w:numId w:val="2"/>
        </w:numPr>
        <w:spacing w:before="100" w:beforeAutospacing="1" w:after="100" w:afterAutospacing="1" w:line="384" w:lineRule="atLeast"/>
        <w:ind w:left="0"/>
        <w:jc w:val="both"/>
        <w:rPr>
          <w:rFonts w:ascii="Arial" w:hAnsi="Arial" w:cs="Arial"/>
          <w:color w:val="4A4A4A"/>
          <w:sz w:val="21"/>
          <w:szCs w:val="21"/>
          <w:lang w:val="uk-UA"/>
        </w:rPr>
      </w:pPr>
      <w:r w:rsidRPr="001E48ED">
        <w:rPr>
          <w:rFonts w:ascii="Arial" w:hAnsi="Arial" w:cs="Arial"/>
          <w:color w:val="4A4A4A"/>
          <w:sz w:val="21"/>
          <w:szCs w:val="21"/>
          <w:lang w:val="uk-UA"/>
        </w:rPr>
        <w:t>ПІБ скаржника.</w:t>
      </w:r>
    </w:p>
    <w:p w:rsidR="001E48ED" w:rsidRPr="001E48ED" w:rsidRDefault="001E48ED" w:rsidP="001E48ED">
      <w:pPr>
        <w:numPr>
          <w:ilvl w:val="0"/>
          <w:numId w:val="2"/>
        </w:numPr>
        <w:spacing w:before="100" w:beforeAutospacing="1" w:after="100" w:afterAutospacing="1" w:line="384" w:lineRule="atLeast"/>
        <w:ind w:left="0"/>
        <w:jc w:val="both"/>
        <w:rPr>
          <w:rFonts w:ascii="Arial" w:hAnsi="Arial" w:cs="Arial"/>
          <w:color w:val="4A4A4A"/>
          <w:sz w:val="21"/>
          <w:szCs w:val="21"/>
          <w:lang w:val="uk-UA"/>
        </w:rPr>
      </w:pPr>
      <w:r w:rsidRPr="001E48ED">
        <w:rPr>
          <w:rFonts w:ascii="Arial" w:hAnsi="Arial" w:cs="Arial"/>
          <w:color w:val="4A4A4A"/>
          <w:sz w:val="21"/>
          <w:szCs w:val="21"/>
          <w:lang w:val="uk-UA"/>
        </w:rPr>
        <w:t>Адресу проживання або перебування.</w:t>
      </w:r>
    </w:p>
    <w:p w:rsidR="001E48ED" w:rsidRPr="001E48ED" w:rsidRDefault="001E48ED" w:rsidP="001E48ED">
      <w:pPr>
        <w:numPr>
          <w:ilvl w:val="0"/>
          <w:numId w:val="2"/>
        </w:numPr>
        <w:spacing w:before="100" w:beforeAutospacing="1" w:after="100" w:afterAutospacing="1" w:line="384" w:lineRule="atLeast"/>
        <w:ind w:left="0"/>
        <w:jc w:val="both"/>
        <w:rPr>
          <w:rFonts w:ascii="Arial" w:hAnsi="Arial" w:cs="Arial"/>
          <w:color w:val="4A4A4A"/>
          <w:sz w:val="21"/>
          <w:szCs w:val="21"/>
          <w:lang w:val="uk-UA"/>
        </w:rPr>
      </w:pPr>
      <w:r w:rsidRPr="001E48ED">
        <w:rPr>
          <w:rFonts w:ascii="Arial" w:hAnsi="Arial" w:cs="Arial"/>
          <w:color w:val="4A4A4A"/>
          <w:sz w:val="21"/>
          <w:szCs w:val="21"/>
          <w:lang w:val="uk-UA"/>
        </w:rPr>
        <w:t>Контактні дані (телефон, email).</w:t>
      </w:r>
    </w:p>
    <w:p w:rsidR="001E48ED" w:rsidRPr="001E48ED" w:rsidRDefault="001E48ED" w:rsidP="001E48ED">
      <w:pPr>
        <w:numPr>
          <w:ilvl w:val="0"/>
          <w:numId w:val="2"/>
        </w:numPr>
        <w:spacing w:before="100" w:beforeAutospacing="1" w:after="100" w:afterAutospacing="1" w:line="384" w:lineRule="atLeast"/>
        <w:ind w:left="0"/>
        <w:jc w:val="both"/>
        <w:rPr>
          <w:rFonts w:ascii="Arial" w:hAnsi="Arial" w:cs="Arial"/>
          <w:color w:val="4A4A4A"/>
          <w:sz w:val="21"/>
          <w:szCs w:val="21"/>
          <w:lang w:val="uk-UA"/>
        </w:rPr>
      </w:pPr>
      <w:r w:rsidRPr="001E48ED">
        <w:rPr>
          <w:rFonts w:ascii="Arial" w:hAnsi="Arial" w:cs="Arial"/>
          <w:color w:val="4A4A4A"/>
          <w:sz w:val="21"/>
          <w:szCs w:val="21"/>
          <w:lang w:val="uk-UA"/>
        </w:rPr>
        <w:t>Обґрунтування вимог.</w:t>
      </w:r>
    </w:p>
    <w:p w:rsidR="001E48ED" w:rsidRPr="001E48ED" w:rsidRDefault="001E48ED" w:rsidP="001E48ED">
      <w:pPr>
        <w:numPr>
          <w:ilvl w:val="0"/>
          <w:numId w:val="2"/>
        </w:numPr>
        <w:spacing w:before="100" w:beforeAutospacing="1" w:after="100" w:afterAutospacing="1" w:line="384" w:lineRule="atLeast"/>
        <w:ind w:left="0"/>
        <w:jc w:val="both"/>
        <w:rPr>
          <w:rFonts w:ascii="Arial" w:hAnsi="Arial" w:cs="Arial"/>
          <w:color w:val="4A4A4A"/>
          <w:sz w:val="21"/>
          <w:szCs w:val="21"/>
          <w:lang w:val="uk-UA"/>
        </w:rPr>
      </w:pPr>
      <w:r w:rsidRPr="001E48ED">
        <w:rPr>
          <w:rFonts w:ascii="Arial" w:hAnsi="Arial" w:cs="Arial"/>
          <w:color w:val="4A4A4A"/>
          <w:sz w:val="21"/>
          <w:szCs w:val="21"/>
          <w:lang w:val="uk-UA"/>
        </w:rPr>
        <w:t>Дату складання скарги.</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Fonts w:ascii="Arial" w:hAnsi="Arial" w:cs="Arial"/>
          <w:color w:val="4A4A4A"/>
          <w:sz w:val="21"/>
          <w:szCs w:val="21"/>
          <w:lang w:val="uk-UA"/>
        </w:rPr>
        <w:t>Скаргу необхідно подати </w:t>
      </w:r>
      <w:r w:rsidRPr="001E48ED">
        <w:rPr>
          <w:rStyle w:val="a5"/>
          <w:rFonts w:ascii="Arial" w:hAnsi="Arial" w:cs="Arial"/>
          <w:color w:val="4A4A4A"/>
          <w:sz w:val="21"/>
          <w:szCs w:val="21"/>
          <w:lang w:val="uk-UA"/>
        </w:rPr>
        <w:t>протягом 40 календарних днів</w:t>
      </w:r>
      <w:r w:rsidRPr="001E48ED">
        <w:rPr>
          <w:rFonts w:ascii="Arial" w:hAnsi="Arial" w:cs="Arial"/>
          <w:color w:val="4A4A4A"/>
          <w:sz w:val="21"/>
          <w:szCs w:val="21"/>
          <w:lang w:val="uk-UA"/>
        </w:rPr>
        <w:t> з моменту отримання рішення експертної команди. Якщо строк пропущено з поважних причин, є можливість подати клопотання про його поновлення.</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Fonts w:ascii="Arial" w:hAnsi="Arial" w:cs="Arial"/>
          <w:color w:val="4A4A4A"/>
          <w:sz w:val="21"/>
          <w:szCs w:val="21"/>
          <w:lang w:val="uk-UA"/>
        </w:rPr>
        <w:t>Детальніше, як оскаржити рішення експертної команди читайте </w:t>
      </w:r>
      <w:hyperlink r:id="rId10" w:history="1">
        <w:r w:rsidRPr="001E48ED">
          <w:rPr>
            <w:rStyle w:val="a3"/>
            <w:rFonts w:ascii="Arial" w:hAnsi="Arial" w:cs="Arial"/>
            <w:color w:val="1155CC"/>
            <w:sz w:val="21"/>
            <w:szCs w:val="21"/>
            <w:lang w:val="uk-UA"/>
          </w:rPr>
          <w:t>тут </w:t>
        </w:r>
      </w:hyperlink>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a5"/>
          <w:rFonts w:ascii="Arial" w:hAnsi="Arial" w:cs="Arial"/>
          <w:color w:val="4A4A4A"/>
          <w:sz w:val="21"/>
          <w:szCs w:val="21"/>
          <w:lang w:val="uk-UA"/>
        </w:rPr>
        <w:t>5.</w:t>
      </w:r>
      <w:r w:rsidRPr="001E48ED">
        <w:rPr>
          <w:rFonts w:ascii="Arial" w:hAnsi="Arial" w:cs="Arial"/>
          <w:color w:val="4A4A4A"/>
          <w:sz w:val="21"/>
          <w:szCs w:val="21"/>
          <w:lang w:val="uk-UA"/>
        </w:rPr>
        <w:t> </w:t>
      </w:r>
      <w:r w:rsidRPr="001E48ED">
        <w:rPr>
          <w:rStyle w:val="a5"/>
          <w:rFonts w:ascii="Arial" w:hAnsi="Arial" w:cs="Arial"/>
          <w:color w:val="4A4A4A"/>
          <w:sz w:val="21"/>
          <w:szCs w:val="21"/>
          <w:lang w:val="uk-UA"/>
        </w:rPr>
        <w:t>Гаряча лінія: </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Fonts w:ascii="Arial" w:hAnsi="Arial" w:cs="Arial"/>
          <w:color w:val="4A4A4A"/>
          <w:sz w:val="21"/>
          <w:szCs w:val="21"/>
          <w:lang w:val="uk-UA"/>
        </w:rPr>
        <w:t>Міністерство охорони здоров’я України забезпечує роботу гарячих ліній для підтримки громадян у межах реформи системи оцінювання повсякденного функціонування, яка замінює МСЕК. Отримати консультацію можна щоденно з 8:00 до 20:00 за такими номерами:</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a5"/>
          <w:rFonts w:ascii="Arial" w:hAnsi="Arial" w:cs="Arial"/>
          <w:color w:val="4A4A4A"/>
          <w:sz w:val="21"/>
          <w:szCs w:val="21"/>
          <w:lang w:val="uk-UA"/>
        </w:rPr>
        <w:t>0 800 505 201</w:t>
      </w:r>
      <w:r w:rsidRPr="001E48ED">
        <w:rPr>
          <w:rFonts w:ascii="Arial" w:hAnsi="Arial" w:cs="Arial"/>
          <w:color w:val="4A4A4A"/>
          <w:sz w:val="21"/>
          <w:szCs w:val="21"/>
          <w:lang w:val="uk-UA"/>
        </w:rPr>
        <w:t> — загальна гаряча лінія МОЗ із питань сфери охорони здоровʼя, зокрема питань оцінювання повсякденного функціонування особи. </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Style w:val="a5"/>
          <w:rFonts w:ascii="Arial" w:hAnsi="Arial" w:cs="Arial"/>
          <w:color w:val="4A4A4A"/>
          <w:sz w:val="21"/>
          <w:szCs w:val="21"/>
          <w:lang w:val="uk-UA"/>
        </w:rPr>
        <w:lastRenderedPageBreak/>
        <w:t>0 800 60 20 19</w:t>
      </w:r>
      <w:r w:rsidRPr="001E48ED">
        <w:rPr>
          <w:rFonts w:ascii="Arial" w:hAnsi="Arial" w:cs="Arial"/>
          <w:color w:val="4A4A4A"/>
          <w:sz w:val="21"/>
          <w:szCs w:val="21"/>
          <w:lang w:val="uk-UA"/>
        </w:rPr>
        <w:t> — Спеціалізована лінія для медпрацівників з питань роботи електронної системи щодо оцінювання повсякденного функціонування особи</w:t>
      </w:r>
    </w:p>
    <w:p w:rsidR="001E48ED" w:rsidRPr="001E48ED" w:rsidRDefault="001E48ED" w:rsidP="001E48ED">
      <w:pPr>
        <w:pStyle w:val="a4"/>
        <w:spacing w:before="0" w:beforeAutospacing="0" w:after="225" w:afterAutospacing="0" w:line="384" w:lineRule="atLeast"/>
        <w:jc w:val="both"/>
        <w:rPr>
          <w:rFonts w:ascii="Arial" w:hAnsi="Arial" w:cs="Arial"/>
          <w:color w:val="4A4A4A"/>
          <w:sz w:val="21"/>
          <w:szCs w:val="21"/>
          <w:lang w:val="uk-UA"/>
        </w:rPr>
      </w:pPr>
      <w:r w:rsidRPr="001E48ED">
        <w:rPr>
          <w:rFonts w:ascii="Arial" w:hAnsi="Arial" w:cs="Arial"/>
          <w:color w:val="4A4A4A"/>
          <w:sz w:val="21"/>
          <w:szCs w:val="21"/>
          <w:lang w:val="uk-UA"/>
        </w:rPr>
        <w:t>Детальніше про права та можливості пацієнтів можна дізнатися з тексту </w:t>
      </w:r>
      <w:hyperlink r:id="rId11" w:anchor="Text" w:tgtFrame="_blank" w:history="1">
        <w:r w:rsidRPr="001E48ED">
          <w:rPr>
            <w:rStyle w:val="a3"/>
            <w:rFonts w:ascii="Arial" w:hAnsi="Arial" w:cs="Arial"/>
            <w:color w:val="1155CC"/>
            <w:sz w:val="21"/>
            <w:szCs w:val="21"/>
            <w:lang w:val="uk-UA"/>
          </w:rPr>
          <w:t>Постанови КМУ № 1338</w:t>
        </w:r>
      </w:hyperlink>
    </w:p>
    <w:p w:rsidR="007604E6" w:rsidRPr="001E48ED" w:rsidRDefault="001E48ED" w:rsidP="001E48ED">
      <w:pPr>
        <w:tabs>
          <w:tab w:val="left" w:pos="1660"/>
        </w:tabs>
        <w:jc w:val="both"/>
        <w:rPr>
          <w:lang w:val="uk-UA"/>
        </w:rPr>
      </w:pPr>
      <w:bookmarkStart w:id="0" w:name="_GoBack"/>
      <w:bookmarkEnd w:id="0"/>
    </w:p>
    <w:sectPr w:rsidR="007604E6" w:rsidRPr="001E48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A0BD2"/>
    <w:multiLevelType w:val="multilevel"/>
    <w:tmpl w:val="6814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57156F"/>
    <w:multiLevelType w:val="multilevel"/>
    <w:tmpl w:val="DBB4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C20"/>
    <w:rsid w:val="001E48ED"/>
    <w:rsid w:val="002E2F0B"/>
    <w:rsid w:val="00B66EBB"/>
    <w:rsid w:val="00BB7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DCDD"/>
  <w15:chartTrackingRefBased/>
  <w15:docId w15:val="{D5F332FC-B9B2-470B-808F-9FDFD9B5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7C20"/>
    <w:rPr>
      <w:color w:val="0563C1" w:themeColor="hyperlink"/>
      <w:u w:val="single"/>
    </w:rPr>
  </w:style>
  <w:style w:type="paragraph" w:styleId="a4">
    <w:name w:val="Normal (Web)"/>
    <w:basedOn w:val="a"/>
    <w:uiPriority w:val="99"/>
    <w:semiHidden/>
    <w:unhideWhenUsed/>
    <w:rsid w:val="001E48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E48ED"/>
    <w:rPr>
      <w:b/>
      <w:bCs/>
    </w:rPr>
  </w:style>
  <w:style w:type="character" w:customStyle="1" w:styleId="redactor-invisible-space">
    <w:name w:val="redactor-invisible-space"/>
    <w:basedOn w:val="a0"/>
    <w:rsid w:val="001E4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646933">
      <w:bodyDiv w:val="1"/>
      <w:marLeft w:val="0"/>
      <w:marRight w:val="0"/>
      <w:marTop w:val="0"/>
      <w:marBottom w:val="0"/>
      <w:divBdr>
        <w:top w:val="none" w:sz="0" w:space="0" w:color="auto"/>
        <w:left w:val="none" w:sz="0" w:space="0" w:color="auto"/>
        <w:bottom w:val="none" w:sz="0" w:space="0" w:color="auto"/>
        <w:right w:val="none" w:sz="0" w:space="0" w:color="auto"/>
      </w:divBdr>
      <w:divsChild>
        <w:div w:id="452141078">
          <w:blockQuote w:val="1"/>
          <w:marLeft w:val="720"/>
          <w:marRight w:val="0"/>
          <w:marTop w:val="0"/>
          <w:marBottom w:val="225"/>
          <w:divBdr>
            <w:top w:val="none" w:sz="0" w:space="0" w:color="auto"/>
            <w:left w:val="single" w:sz="24" w:space="11" w:color="ADD187"/>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z.gov.ua/uk/ekopf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oz.gov.ua/uk/ekopf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z.gov.ua/storage/uploads/e174ed5c-b1ac-4d08-9203-6ad117585e95/%D0%9F%D0%BE%D0%BA%D1%80%D0%BE%D0%BA%D0%BE%D0%B2%D0%B8%D0%B9-%D0%B0%D0%BB%D0%B3%D0%BE%D1%80%D0%B8%D1%82%D0%BC-%D0%B4%D0%BB%D1%8F-%D0%BB%D1%96%D0%BA%D0%B0%D1%80%D1%96%D0%B2,-%D0%BA%D0%BE%D0%BC%D0%B0%D0%BD%D0%B4-%D1%82%D0%B0-%D0%B0%D0%B4%D0%BC%D1%96%D0%BD%D1%96%D1%81%D1%82%D1%80%D0%B0%D1%82%D0%BE%D1%80%D1%96%D0%B2.pdf" TargetMode="External"/><Relationship Id="rId11" Type="http://schemas.openxmlformats.org/officeDocument/2006/relationships/hyperlink" Target="https://zakon.rada.gov.ua/laws/show/1338-2024-%D0%BF" TargetMode="External"/><Relationship Id="rId5" Type="http://schemas.openxmlformats.org/officeDocument/2006/relationships/hyperlink" Target="https://moz.gov.ua/uk/news/shlyah-paciyenta" TargetMode="External"/><Relationship Id="rId10" Type="http://schemas.openxmlformats.org/officeDocument/2006/relationships/hyperlink" Target="https://moz.gov.ua/uk/oskarzhennya-rishennya-ekspertnoyi-komandi-v-centri-ocinyuvannya-funkcionalnogo-stanu-osobi" TargetMode="External"/><Relationship Id="rId4" Type="http://schemas.openxmlformats.org/officeDocument/2006/relationships/webSettings" Target="webSettings.xml"/><Relationship Id="rId9" Type="http://schemas.openxmlformats.org/officeDocument/2006/relationships/hyperlink" Target="https://zakon.rada.gov.ua/laws/show/1338-2024-%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7</Pages>
  <Words>1970</Words>
  <Characters>11230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2025-02-28T08:11:00Z</dcterms:created>
  <dcterms:modified xsi:type="dcterms:W3CDTF">2025-02-28T09:38:00Z</dcterms:modified>
</cp:coreProperties>
</file>